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A20E" w14:textId="5680EA2D" w:rsidR="00BE06C5" w:rsidRPr="00916062" w:rsidRDefault="00BE06C5" w:rsidP="00916062">
      <w:pPr>
        <w:pStyle w:val="a3"/>
        <w:numPr>
          <w:ilvl w:val="0"/>
          <w:numId w:val="7"/>
        </w:numPr>
        <w:spacing w:line="0" w:lineRule="atLeast"/>
        <w:ind w:leftChars="0" w:left="482"/>
        <w:rPr>
          <w:rFonts w:ascii="微軟正黑體" w:eastAsia="微軟正黑體" w:hAnsi="微軟正黑體"/>
          <w:szCs w:val="24"/>
        </w:rPr>
      </w:pPr>
      <w:r w:rsidRPr="00BE06C5">
        <w:rPr>
          <w:rFonts w:ascii="微軟正黑體" w:eastAsia="微軟正黑體" w:hAnsi="微軟正黑體" w:hint="eastAsia"/>
          <w:b/>
          <w:bCs/>
          <w:sz w:val="36"/>
          <w:szCs w:val="36"/>
        </w:rPr>
        <w:t>新案入住</w:t>
      </w:r>
      <w:r w:rsidR="00900547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 w:rsidRPr="00BE06C5">
        <w:rPr>
          <w:rFonts w:ascii="微軟正黑體" w:eastAsia="微軟正黑體" w:hAnsi="微軟正黑體" w:hint="eastAsia"/>
          <w:b/>
          <w:bCs/>
          <w:sz w:val="36"/>
          <w:szCs w:val="36"/>
        </w:rPr>
        <w:t>住民出院須提供PCR報告或配合完成</w:t>
      </w:r>
      <w:proofErr w:type="gramStart"/>
      <w:r w:rsidRPr="00BE06C5">
        <w:rPr>
          <w:rFonts w:ascii="微軟正黑體" w:eastAsia="微軟正黑體" w:hAnsi="微軟正黑體" w:hint="eastAsia"/>
          <w:b/>
          <w:bCs/>
          <w:sz w:val="36"/>
          <w:szCs w:val="36"/>
        </w:rPr>
        <w:t>一採</w:t>
      </w:r>
      <w:proofErr w:type="gramEnd"/>
      <w:r w:rsidRPr="00BE06C5">
        <w:rPr>
          <w:rFonts w:ascii="微軟正黑體" w:eastAsia="微軟正黑體" w:hAnsi="微軟正黑體" w:hint="eastAsia"/>
          <w:b/>
          <w:bCs/>
          <w:sz w:val="36"/>
          <w:szCs w:val="36"/>
        </w:rPr>
        <w:t>篩檢，方能進入機構隔離</w:t>
      </w:r>
      <w:r w:rsidR="007D39CE">
        <w:rPr>
          <w:rFonts w:ascii="微軟正黑體" w:eastAsia="微軟正黑體" w:hAnsi="微軟正黑體" w:hint="eastAsia"/>
          <w:b/>
          <w:bCs/>
          <w:sz w:val="36"/>
          <w:szCs w:val="36"/>
        </w:rPr>
        <w:t>，即日起至110年6月</w:t>
      </w:r>
      <w:r w:rsidR="001213F1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14</w:t>
      </w:r>
      <w:r w:rsidR="007D39CE">
        <w:rPr>
          <w:rFonts w:ascii="微軟正黑體" w:eastAsia="微軟正黑體" w:hAnsi="微軟正黑體" w:hint="eastAsia"/>
          <w:b/>
          <w:bCs/>
          <w:sz w:val="36"/>
          <w:szCs w:val="36"/>
        </w:rPr>
        <w:t>日</w:t>
      </w:r>
      <w:r w:rsidR="007D39CE" w:rsidRPr="00916062">
        <w:rPr>
          <w:rFonts w:ascii="微軟正黑體" w:eastAsia="微軟正黑體" w:hAnsi="微軟正黑體" w:hint="eastAsia"/>
          <w:szCs w:val="24"/>
        </w:rPr>
        <w:t>(</w:t>
      </w:r>
      <w:proofErr w:type="gramStart"/>
      <w:r w:rsidR="007D39CE" w:rsidRPr="00916062">
        <w:rPr>
          <w:rFonts w:ascii="微軟正黑體" w:eastAsia="微軟正黑體" w:hAnsi="微軟正黑體" w:hint="eastAsia"/>
          <w:szCs w:val="24"/>
        </w:rPr>
        <w:t>依衛福部</w:t>
      </w:r>
      <w:proofErr w:type="gramEnd"/>
      <w:r w:rsidR="007D39CE" w:rsidRPr="00916062">
        <w:rPr>
          <w:rFonts w:ascii="微軟正黑體" w:eastAsia="微軟正黑體" w:hAnsi="微軟正黑體" w:hint="eastAsia"/>
          <w:szCs w:val="24"/>
        </w:rPr>
        <w:t>公告台灣</w:t>
      </w:r>
      <w:proofErr w:type="gramStart"/>
      <w:r w:rsidR="007D39CE" w:rsidRPr="00916062">
        <w:rPr>
          <w:rFonts w:ascii="微軟正黑體" w:eastAsia="微軟正黑體" w:hAnsi="微軟正黑體" w:hint="eastAsia"/>
          <w:szCs w:val="24"/>
        </w:rPr>
        <w:t>疫</w:t>
      </w:r>
      <w:proofErr w:type="gramEnd"/>
      <w:r w:rsidR="007D39CE" w:rsidRPr="00916062">
        <w:rPr>
          <w:rFonts w:ascii="微軟正黑體" w:eastAsia="微軟正黑體" w:hAnsi="微軟正黑體" w:hint="eastAsia"/>
          <w:szCs w:val="24"/>
        </w:rPr>
        <w:t>情狀況，彈性延後)</w:t>
      </w:r>
    </w:p>
    <w:p w14:paraId="4EA55787" w14:textId="7EAA25C9" w:rsidR="00FC4B81" w:rsidRPr="006362EC" w:rsidRDefault="005D4867" w:rsidP="006362EC">
      <w:pPr>
        <w:pStyle w:val="a3"/>
        <w:spacing w:line="0" w:lineRule="atLeast"/>
        <w:ind w:leftChars="0" w:left="482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sz w:val="28"/>
          <w:szCs w:val="28"/>
        </w:rPr>
        <w:t xml:space="preserve">                                                          1100603</w:t>
      </w:r>
      <w:r>
        <w:rPr>
          <w:rFonts w:ascii="微軟正黑體" w:eastAsia="微軟正黑體" w:hAnsi="微軟正黑體" w:hint="eastAsia"/>
          <w:sz w:val="28"/>
          <w:szCs w:val="28"/>
        </w:rPr>
        <w:t>修</w:t>
      </w:r>
    </w:p>
    <w:p w14:paraId="590EE3C8" w14:textId="6583EA9D" w:rsidR="00B92B15" w:rsidRPr="00B92B15" w:rsidRDefault="00B92B15" w:rsidP="00B92B15">
      <w:pPr>
        <w:pStyle w:val="a3"/>
        <w:numPr>
          <w:ilvl w:val="0"/>
          <w:numId w:val="8"/>
        </w:numPr>
        <w:spacing w:line="0" w:lineRule="atLeast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新入住</w:t>
      </w:r>
      <w:r w:rsidRPr="00916062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辦法</w:t>
      </w:r>
    </w:p>
    <w:p w14:paraId="07CA013B" w14:textId="5DF666FE" w:rsidR="00C02E21" w:rsidRDefault="00E0050F" w:rsidP="00900547">
      <w:pPr>
        <w:pStyle w:val="a3"/>
        <w:numPr>
          <w:ilvl w:val="0"/>
          <w:numId w:val="13"/>
        </w:numPr>
        <w:spacing w:line="0" w:lineRule="atLeast"/>
        <w:ind w:leftChars="0" w:left="482" w:hanging="482"/>
        <w:rPr>
          <w:rFonts w:ascii="微軟正黑體" w:eastAsia="微軟正黑體" w:hAnsi="微軟正黑體"/>
          <w:b/>
          <w:bCs/>
          <w:color w:val="404040" w:themeColor="text1" w:themeTint="BF"/>
          <w:sz w:val="28"/>
          <w:szCs w:val="28"/>
        </w:rPr>
      </w:pPr>
      <w:r w:rsidRPr="00C02E21">
        <w:rPr>
          <w:rFonts w:ascii="微軟正黑體" w:eastAsia="微軟正黑體" w:hAnsi="微軟正黑體" w:hint="eastAsia"/>
          <w:sz w:val="28"/>
          <w:szCs w:val="28"/>
        </w:rPr>
        <w:t>提供</w:t>
      </w:r>
      <w:bookmarkStart w:id="0" w:name="_Hlk73462965"/>
      <w:r w:rsidRPr="00C02E21">
        <w:rPr>
          <w:rFonts w:ascii="微軟正黑體" w:eastAsia="微軟正黑體" w:hAnsi="微軟正黑體" w:hint="eastAsia"/>
          <w:sz w:val="28"/>
          <w:szCs w:val="28"/>
        </w:rPr>
        <w:t>3日內</w:t>
      </w:r>
      <w:r w:rsidR="00C02E21" w:rsidRPr="00C02E21">
        <w:rPr>
          <w:rFonts w:ascii="微軟正黑體" w:eastAsia="微軟正黑體" w:hAnsi="微軟正黑體" w:hint="eastAsia"/>
          <w:color w:val="FF0000"/>
          <w:sz w:val="28"/>
          <w:szCs w:val="28"/>
        </w:rPr>
        <w:t>P</w:t>
      </w:r>
      <w:r w:rsidR="00C02E21" w:rsidRPr="00C02E21">
        <w:rPr>
          <w:rFonts w:ascii="微軟正黑體" w:eastAsia="微軟正黑體" w:hAnsi="微軟正黑體"/>
          <w:color w:val="FF0000"/>
          <w:sz w:val="28"/>
          <w:szCs w:val="28"/>
        </w:rPr>
        <w:t>CR</w:t>
      </w:r>
      <w:r w:rsidRPr="00C02E21">
        <w:rPr>
          <w:rFonts w:ascii="微軟正黑體" w:eastAsia="微軟正黑體" w:hAnsi="微軟正黑體" w:hint="eastAsia"/>
          <w:sz w:val="28"/>
          <w:szCs w:val="28"/>
        </w:rPr>
        <w:t>陰性報告，入住</w:t>
      </w:r>
      <w:r w:rsidR="001A1216" w:rsidRPr="001A1216">
        <w:rPr>
          <w:rFonts w:ascii="微軟正黑體" w:eastAsia="微軟正黑體" w:hAnsi="微軟正黑體" w:hint="eastAsia"/>
          <w:sz w:val="28"/>
          <w:szCs w:val="28"/>
        </w:rPr>
        <w:t>機構內隔離</w:t>
      </w:r>
      <w:r w:rsidR="001A1216" w:rsidRPr="001A1216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1</w:t>
      </w:r>
      <w:r w:rsidR="001A1216" w:rsidRPr="001A1216"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4</w:t>
      </w:r>
      <w:r w:rsidR="001A1216" w:rsidRPr="001A1216">
        <w:rPr>
          <w:rFonts w:ascii="微軟正黑體" w:eastAsia="微軟正黑體" w:hAnsi="微軟正黑體" w:hint="eastAsia"/>
          <w:sz w:val="28"/>
          <w:szCs w:val="28"/>
        </w:rPr>
        <w:t>天(</w:t>
      </w:r>
      <w:proofErr w:type="gramStart"/>
      <w:r w:rsidR="001A1216" w:rsidRPr="001A1216">
        <w:rPr>
          <w:rFonts w:ascii="微軟正黑體" w:eastAsia="微軟正黑體" w:hAnsi="微軟正黑體" w:hint="eastAsia"/>
          <w:sz w:val="28"/>
          <w:szCs w:val="28"/>
        </w:rPr>
        <w:t>可原床位</w:t>
      </w:r>
      <w:proofErr w:type="gramEnd"/>
      <w:r w:rsidR="001A1216" w:rsidRPr="001A1216">
        <w:rPr>
          <w:rFonts w:ascii="微軟正黑體" w:eastAsia="微軟正黑體" w:hAnsi="微軟正黑體" w:hint="eastAsia"/>
          <w:sz w:val="28"/>
          <w:szCs w:val="28"/>
        </w:rPr>
        <w:t>隔離)後無症狀則可解除隔離</w:t>
      </w:r>
      <w:r w:rsidR="00C02E21" w:rsidRPr="00C02E21">
        <w:rPr>
          <w:rFonts w:ascii="微軟正黑體" w:eastAsia="微軟正黑體" w:hAnsi="微軟正黑體" w:hint="eastAsia"/>
          <w:b/>
          <w:bCs/>
          <w:color w:val="404040" w:themeColor="text1" w:themeTint="BF"/>
          <w:sz w:val="28"/>
          <w:szCs w:val="28"/>
        </w:rPr>
        <w:t>。</w:t>
      </w:r>
      <w:bookmarkEnd w:id="0"/>
    </w:p>
    <w:p w14:paraId="6044C669" w14:textId="497CA254" w:rsidR="00900547" w:rsidRPr="00900547" w:rsidRDefault="00C02E21" w:rsidP="00900547">
      <w:pPr>
        <w:pStyle w:val="a3"/>
        <w:numPr>
          <w:ilvl w:val="0"/>
          <w:numId w:val="13"/>
        </w:numPr>
        <w:spacing w:line="0" w:lineRule="atLeast"/>
        <w:ind w:leftChars="0" w:left="482" w:hanging="482"/>
        <w:rPr>
          <w:rFonts w:ascii="微軟正黑體" w:eastAsia="微軟正黑體" w:hAnsi="微軟正黑體"/>
          <w:b/>
          <w:bCs/>
          <w:color w:val="404040" w:themeColor="text1" w:themeTint="BF"/>
          <w:sz w:val="28"/>
          <w:szCs w:val="28"/>
        </w:rPr>
      </w:pPr>
      <w:r w:rsidRPr="00900547">
        <w:rPr>
          <w:rFonts w:ascii="微軟正黑體" w:eastAsia="微軟正黑體" w:hAnsi="微軟正黑體" w:hint="eastAsia"/>
          <w:color w:val="FF0000"/>
          <w:sz w:val="28"/>
          <w:szCs w:val="28"/>
        </w:rPr>
        <w:t>禁止</w:t>
      </w:r>
      <w:proofErr w:type="gramStart"/>
      <w:r w:rsidRPr="00900547">
        <w:rPr>
          <w:rFonts w:ascii="微軟正黑體" w:eastAsia="微軟正黑體" w:hAnsi="微軟正黑體" w:hint="eastAsia"/>
          <w:color w:val="FF0000"/>
          <w:sz w:val="28"/>
          <w:szCs w:val="28"/>
        </w:rPr>
        <w:t>人員陪住</w:t>
      </w:r>
      <w:proofErr w:type="gramEnd"/>
      <w:r w:rsidRPr="00900547">
        <w:rPr>
          <w:rFonts w:ascii="微軟正黑體" w:eastAsia="微軟正黑體" w:hAnsi="微軟正黑體" w:hint="eastAsia"/>
          <w:color w:val="FF0000"/>
          <w:sz w:val="28"/>
          <w:szCs w:val="28"/>
        </w:rPr>
        <w:t>，若仍有需求，則比照提供3日內PCR陰性報告，並共同入住隔離室14天後無症狀則可解除隔離。</w:t>
      </w:r>
    </w:p>
    <w:p w14:paraId="5A254289" w14:textId="627669C5" w:rsidR="00D0173F" w:rsidRDefault="00D0173F" w:rsidP="00D0173F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711EEFD2" w14:textId="1A647C57" w:rsidR="00FC4B81" w:rsidRDefault="00FC4B81" w:rsidP="00FC4B81">
      <w:pPr>
        <w:spacing w:line="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proofErr w:type="gramStart"/>
      <w:r w:rsidRPr="0003093F">
        <w:rPr>
          <w:rFonts w:ascii="微軟正黑體" w:eastAsia="微軟正黑體" w:hAnsi="微軟正黑體" w:hint="eastAsia"/>
          <w:b/>
          <w:bCs/>
          <w:sz w:val="40"/>
          <w:szCs w:val="40"/>
        </w:rPr>
        <w:t>新冠肺炎</w:t>
      </w:r>
      <w:proofErr w:type="gramEnd"/>
      <w:r w:rsidRPr="0003093F">
        <w:rPr>
          <w:rFonts w:ascii="微軟正黑體" w:eastAsia="微軟正黑體" w:hAnsi="微軟正黑體" w:hint="eastAsia"/>
          <w:b/>
          <w:bCs/>
          <w:sz w:val="40"/>
          <w:szCs w:val="40"/>
        </w:rPr>
        <w:t>篩檢流程圖</w:t>
      </w:r>
    </w:p>
    <w:p w14:paraId="1C02DBBE" w14:textId="77777777" w:rsidR="001D7623" w:rsidRDefault="001D7623" w:rsidP="00FC4B81">
      <w:pPr>
        <w:spacing w:line="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tbl>
      <w:tblPr>
        <w:tblStyle w:val="a8"/>
        <w:tblW w:w="0" w:type="auto"/>
        <w:tblInd w:w="3918" w:type="dxa"/>
        <w:tblLook w:val="04A0" w:firstRow="1" w:lastRow="0" w:firstColumn="1" w:lastColumn="0" w:noHBand="0" w:noVBand="1"/>
      </w:tblPr>
      <w:tblGrid>
        <w:gridCol w:w="2614"/>
      </w:tblGrid>
      <w:tr w:rsidR="00D11299" w14:paraId="22B7911D" w14:textId="77777777" w:rsidTr="00D11299">
        <w:tc>
          <w:tcPr>
            <w:tcW w:w="2614" w:type="dxa"/>
          </w:tcPr>
          <w:p w14:paraId="659F1362" w14:textId="77777777" w:rsidR="00D11299" w:rsidRDefault="00D11299" w:rsidP="00EA6B1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FF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>新入住</w:t>
            </w:r>
          </w:p>
        </w:tc>
      </w:tr>
    </w:tbl>
    <w:p w14:paraId="734FD002" w14:textId="6F4C3064" w:rsidR="001149B0" w:rsidRDefault="001149B0" w:rsidP="00D11299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BCE240" wp14:editId="71235473">
                <wp:simplePos x="0" y="0"/>
                <wp:positionH relativeFrom="margin">
                  <wp:posOffset>3329939</wp:posOffset>
                </wp:positionH>
                <wp:positionV relativeFrom="paragraph">
                  <wp:posOffset>58420</wp:posOffset>
                </wp:positionV>
                <wp:extent cx="0" cy="403200"/>
                <wp:effectExtent l="76200" t="0" r="57150" b="5461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7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62.2pt;margin-top:4.6pt;width:0;height:31.7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293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074AC9" w14:paraId="5385EA95" w14:textId="77777777" w:rsidTr="00074AC9">
        <w:trPr>
          <w:trHeight w:val="666"/>
        </w:trPr>
        <w:tc>
          <w:tcPr>
            <w:tcW w:w="3485" w:type="dxa"/>
          </w:tcPr>
          <w:p w14:paraId="16A847DF" w14:textId="77777777" w:rsidR="00074AC9" w:rsidRDefault="00074AC9" w:rsidP="00074AC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173F">
              <w:rPr>
                <w:rFonts w:ascii="微軟正黑體" w:eastAsia="微軟正黑體" w:hAnsi="微軟正黑體" w:hint="eastAsia"/>
                <w:sz w:val="28"/>
                <w:szCs w:val="28"/>
              </w:rPr>
              <w:t>日內PCR陰性報告</w:t>
            </w:r>
          </w:p>
        </w:tc>
        <w:tc>
          <w:tcPr>
            <w:tcW w:w="3485" w:type="dxa"/>
          </w:tcPr>
          <w:p w14:paraId="50D9EDD5" w14:textId="06396B1B" w:rsidR="00074AC9" w:rsidRDefault="00074AC9" w:rsidP="00074AC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173F">
              <w:rPr>
                <w:rFonts w:ascii="微軟正黑體" w:eastAsia="微軟正黑體" w:hAnsi="微軟正黑體" w:hint="eastAsia"/>
                <w:sz w:val="28"/>
                <w:szCs w:val="28"/>
              </w:rPr>
              <w:t>日內PCR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陽</w:t>
            </w:r>
            <w:r w:rsidRPr="00D0173F">
              <w:rPr>
                <w:rFonts w:ascii="微軟正黑體" w:eastAsia="微軟正黑體" w:hAnsi="微軟正黑體" w:hint="eastAsia"/>
                <w:sz w:val="28"/>
                <w:szCs w:val="28"/>
              </w:rPr>
              <w:t>性報告</w:t>
            </w:r>
          </w:p>
        </w:tc>
      </w:tr>
    </w:tbl>
    <w:p w14:paraId="7746B855" w14:textId="4F19F526" w:rsidR="00D11299" w:rsidRDefault="00D11299" w:rsidP="00D11299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</w:p>
    <w:p w14:paraId="22B7D0B8" w14:textId="7076E619" w:rsidR="00D11299" w:rsidRDefault="00074AC9" w:rsidP="00D11299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AB81C00" wp14:editId="736BAAD9">
                <wp:simplePos x="0" y="0"/>
                <wp:positionH relativeFrom="margin">
                  <wp:posOffset>4381500</wp:posOffset>
                </wp:positionH>
                <wp:positionV relativeFrom="paragraph">
                  <wp:posOffset>301625</wp:posOffset>
                </wp:positionV>
                <wp:extent cx="0" cy="434340"/>
                <wp:effectExtent l="76200" t="0" r="57150" b="6096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70EB4" id="直線單箭頭接點 13" o:spid="_x0000_s1026" type="#_x0000_t32" style="position:absolute;margin-left:345pt;margin-top:23.75pt;width:0;height:34.2pt;z-index:251833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67719959" w14:textId="5A6BB11F" w:rsidR="00D032BD" w:rsidRDefault="00074AC9" w:rsidP="00D11299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6DBBC0" wp14:editId="04863667">
                <wp:simplePos x="0" y="0"/>
                <wp:positionH relativeFrom="margin">
                  <wp:posOffset>2217420</wp:posOffset>
                </wp:positionH>
                <wp:positionV relativeFrom="paragraph">
                  <wp:posOffset>1270</wp:posOffset>
                </wp:positionV>
                <wp:extent cx="0" cy="434340"/>
                <wp:effectExtent l="76200" t="0" r="57150" b="6096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A25E6" id="直線單箭頭接點 12" o:spid="_x0000_s1026" type="#_x0000_t32" style="position:absolute;margin-left:174.6pt;margin-top:.1pt;width:0;height:34.2pt;z-index:251831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4125"/>
        <w:gridCol w:w="3954"/>
      </w:tblGrid>
      <w:tr w:rsidR="00074AC9" w14:paraId="32CB6379" w14:textId="77777777" w:rsidTr="00074AC9">
        <w:tc>
          <w:tcPr>
            <w:tcW w:w="4125" w:type="dxa"/>
          </w:tcPr>
          <w:p w14:paraId="41831A4D" w14:textId="77777777" w:rsidR="00074AC9" w:rsidRDefault="00074AC9" w:rsidP="00074AC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F4CD9">
              <w:rPr>
                <w:rFonts w:ascii="微軟正黑體" w:eastAsia="微軟正黑體" w:hAnsi="微軟正黑體" w:hint="eastAsia"/>
                <w:sz w:val="28"/>
                <w:szCs w:val="28"/>
              </w:rPr>
              <w:t>機構內隔離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DF4CD9">
              <w:rPr>
                <w:rFonts w:ascii="微軟正黑體" w:eastAsia="微軟正黑體" w:hAnsi="微軟正黑體" w:hint="eastAsia"/>
                <w:sz w:val="28"/>
                <w:szCs w:val="28"/>
              </w:rPr>
              <w:t>天</w:t>
            </w:r>
            <w:r w:rsidRPr="0003093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03093F">
              <w:rPr>
                <w:rFonts w:ascii="微軟正黑體" w:eastAsia="微軟正黑體" w:hAnsi="微軟正黑體" w:hint="eastAsia"/>
                <w:sz w:val="20"/>
                <w:szCs w:val="20"/>
              </w:rPr>
              <w:t>可原床位</w:t>
            </w:r>
            <w:proofErr w:type="gramEnd"/>
            <w:r w:rsidRPr="0003093F">
              <w:rPr>
                <w:rFonts w:ascii="微軟正黑體" w:eastAsia="微軟正黑體" w:hAnsi="微軟正黑體" w:hint="eastAsia"/>
                <w:sz w:val="20"/>
                <w:szCs w:val="20"/>
              </w:rPr>
              <w:t>隔離)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DF4CD9">
              <w:rPr>
                <w:rFonts w:ascii="微軟正黑體" w:eastAsia="微軟正黑體" w:hAnsi="微軟正黑體" w:hint="eastAsia"/>
                <w:sz w:val="28"/>
                <w:szCs w:val="28"/>
              </w:rPr>
              <w:t>後無症狀則可解除</w:t>
            </w:r>
          </w:p>
        </w:tc>
        <w:tc>
          <w:tcPr>
            <w:tcW w:w="3954" w:type="dxa"/>
          </w:tcPr>
          <w:p w14:paraId="5D94DC11" w14:textId="77777777" w:rsidR="00074AC9" w:rsidRDefault="00074AC9" w:rsidP="00074AC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不收案</w:t>
            </w:r>
          </w:p>
        </w:tc>
      </w:tr>
    </w:tbl>
    <w:p w14:paraId="36299ECE" w14:textId="77777777" w:rsidR="00074AC9" w:rsidRDefault="00074AC9" w:rsidP="00D11299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</w:p>
    <w:p w14:paraId="6D62B3E1" w14:textId="1C1F91B9" w:rsidR="00D11299" w:rsidRDefault="00D11299" w:rsidP="00D11299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</w:p>
    <w:p w14:paraId="2ACADB37" w14:textId="30A0FC43" w:rsidR="00FC4B81" w:rsidRDefault="00FC4B81" w:rsidP="00FC4B81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</w:p>
    <w:p w14:paraId="33578F6B" w14:textId="77777777" w:rsidR="002E5D8E" w:rsidRDefault="002E5D8E" w:rsidP="00FC4B81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</w:p>
    <w:sectPr w:rsidR="002E5D8E" w:rsidSect="002113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8AC5" w14:textId="77777777" w:rsidR="00A02B2C" w:rsidRDefault="00A02B2C" w:rsidP="003C44DB">
      <w:r>
        <w:separator/>
      </w:r>
    </w:p>
  </w:endnote>
  <w:endnote w:type="continuationSeparator" w:id="0">
    <w:p w14:paraId="6544C0C6" w14:textId="77777777" w:rsidR="00A02B2C" w:rsidRDefault="00A02B2C" w:rsidP="003C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F90D" w14:textId="77777777" w:rsidR="00A02B2C" w:rsidRDefault="00A02B2C" w:rsidP="003C44DB">
      <w:r>
        <w:separator/>
      </w:r>
    </w:p>
  </w:footnote>
  <w:footnote w:type="continuationSeparator" w:id="0">
    <w:p w14:paraId="1039BFAE" w14:textId="77777777" w:rsidR="00A02B2C" w:rsidRDefault="00A02B2C" w:rsidP="003C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BB1D"/>
      </v:shape>
    </w:pict>
  </w:numPicBullet>
  <w:abstractNum w:abstractNumId="0" w15:restartNumberingAfterBreak="0">
    <w:nsid w:val="03895800"/>
    <w:multiLevelType w:val="hybridMultilevel"/>
    <w:tmpl w:val="9C22673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3230A6"/>
    <w:multiLevelType w:val="hybridMultilevel"/>
    <w:tmpl w:val="01A46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C6B59"/>
    <w:multiLevelType w:val="hybridMultilevel"/>
    <w:tmpl w:val="078CD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4658"/>
    <w:multiLevelType w:val="hybridMultilevel"/>
    <w:tmpl w:val="057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A1171"/>
    <w:multiLevelType w:val="hybridMultilevel"/>
    <w:tmpl w:val="BA1E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4A06A0"/>
    <w:multiLevelType w:val="hybridMultilevel"/>
    <w:tmpl w:val="75326F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050161"/>
    <w:multiLevelType w:val="hybridMultilevel"/>
    <w:tmpl w:val="8FFA035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BD02AF"/>
    <w:multiLevelType w:val="hybridMultilevel"/>
    <w:tmpl w:val="DD769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D45CC"/>
    <w:multiLevelType w:val="hybridMultilevel"/>
    <w:tmpl w:val="50BCB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D07AF"/>
    <w:multiLevelType w:val="hybridMultilevel"/>
    <w:tmpl w:val="FCBE8A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B61D4B"/>
    <w:multiLevelType w:val="hybridMultilevel"/>
    <w:tmpl w:val="079C3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BB4162"/>
    <w:multiLevelType w:val="hybridMultilevel"/>
    <w:tmpl w:val="078CD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941B8B"/>
    <w:multiLevelType w:val="hybridMultilevel"/>
    <w:tmpl w:val="D71CF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9270B6"/>
    <w:multiLevelType w:val="hybridMultilevel"/>
    <w:tmpl w:val="7F1AAE1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6C8C74E8"/>
    <w:multiLevelType w:val="hybridMultilevel"/>
    <w:tmpl w:val="9354940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7F6894"/>
    <w:multiLevelType w:val="hybridMultilevel"/>
    <w:tmpl w:val="390E4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83058F"/>
    <w:multiLevelType w:val="hybridMultilevel"/>
    <w:tmpl w:val="C08EA2B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4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15"/>
  </w:num>
  <w:num w:numId="13">
    <w:abstractNumId w:val="8"/>
  </w:num>
  <w:num w:numId="14">
    <w:abstractNumId w:val="0"/>
  </w:num>
  <w:num w:numId="15">
    <w:abstractNumId w:val="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B8"/>
    <w:rsid w:val="0003093F"/>
    <w:rsid w:val="000325A0"/>
    <w:rsid w:val="0006246F"/>
    <w:rsid w:val="00074AC9"/>
    <w:rsid w:val="000937A8"/>
    <w:rsid w:val="001149B0"/>
    <w:rsid w:val="001213F1"/>
    <w:rsid w:val="00162A30"/>
    <w:rsid w:val="001A1216"/>
    <w:rsid w:val="001C0DB1"/>
    <w:rsid w:val="001D7623"/>
    <w:rsid w:val="001F1ACC"/>
    <w:rsid w:val="002113B8"/>
    <w:rsid w:val="0021483D"/>
    <w:rsid w:val="00256059"/>
    <w:rsid w:val="00257B61"/>
    <w:rsid w:val="002871EE"/>
    <w:rsid w:val="002A5891"/>
    <w:rsid w:val="002B3A1C"/>
    <w:rsid w:val="002B4613"/>
    <w:rsid w:val="002E5D8E"/>
    <w:rsid w:val="002F4265"/>
    <w:rsid w:val="00373B54"/>
    <w:rsid w:val="003C44DB"/>
    <w:rsid w:val="004000F4"/>
    <w:rsid w:val="00415B6D"/>
    <w:rsid w:val="004A340C"/>
    <w:rsid w:val="00510FE8"/>
    <w:rsid w:val="00594C24"/>
    <w:rsid w:val="005C05BD"/>
    <w:rsid w:val="005D4867"/>
    <w:rsid w:val="005E4685"/>
    <w:rsid w:val="005E6BEC"/>
    <w:rsid w:val="006259C5"/>
    <w:rsid w:val="00627F14"/>
    <w:rsid w:val="006362EC"/>
    <w:rsid w:val="00737A1A"/>
    <w:rsid w:val="007A62BE"/>
    <w:rsid w:val="007B04F4"/>
    <w:rsid w:val="007D39CE"/>
    <w:rsid w:val="008442EF"/>
    <w:rsid w:val="00850105"/>
    <w:rsid w:val="00860762"/>
    <w:rsid w:val="0086637A"/>
    <w:rsid w:val="00900547"/>
    <w:rsid w:val="00916062"/>
    <w:rsid w:val="00952FF9"/>
    <w:rsid w:val="00987AAE"/>
    <w:rsid w:val="00993AB8"/>
    <w:rsid w:val="009C0C35"/>
    <w:rsid w:val="00A02B2C"/>
    <w:rsid w:val="00B524D5"/>
    <w:rsid w:val="00B67336"/>
    <w:rsid w:val="00B82DED"/>
    <w:rsid w:val="00B92B15"/>
    <w:rsid w:val="00BE06C5"/>
    <w:rsid w:val="00BF72AF"/>
    <w:rsid w:val="00C02E21"/>
    <w:rsid w:val="00C07A2C"/>
    <w:rsid w:val="00C127D9"/>
    <w:rsid w:val="00C15B62"/>
    <w:rsid w:val="00C51013"/>
    <w:rsid w:val="00C67FDC"/>
    <w:rsid w:val="00CB475B"/>
    <w:rsid w:val="00CC44FE"/>
    <w:rsid w:val="00CD6D9F"/>
    <w:rsid w:val="00D0099C"/>
    <w:rsid w:val="00D0173F"/>
    <w:rsid w:val="00D032BD"/>
    <w:rsid w:val="00D11299"/>
    <w:rsid w:val="00D56163"/>
    <w:rsid w:val="00DB0BAD"/>
    <w:rsid w:val="00DB4DBA"/>
    <w:rsid w:val="00DE1E53"/>
    <w:rsid w:val="00DE663D"/>
    <w:rsid w:val="00DF1BB6"/>
    <w:rsid w:val="00DF4CD9"/>
    <w:rsid w:val="00E0050F"/>
    <w:rsid w:val="00E374B4"/>
    <w:rsid w:val="00E935F2"/>
    <w:rsid w:val="00E950FB"/>
    <w:rsid w:val="00F72857"/>
    <w:rsid w:val="00F820ED"/>
    <w:rsid w:val="00FC1E21"/>
    <w:rsid w:val="00FC4B81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DD1A"/>
  <w15:chartTrackingRefBased/>
  <w15:docId w15:val="{99391A0E-769C-45C6-837F-EBF2DED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4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4DB"/>
    <w:rPr>
      <w:sz w:val="20"/>
      <w:szCs w:val="20"/>
    </w:rPr>
  </w:style>
  <w:style w:type="table" w:styleId="a8">
    <w:name w:val="Table Grid"/>
    <w:basedOn w:val="a1"/>
    <w:uiPriority w:val="39"/>
    <w:rsid w:val="0095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FE51-3897-4081-A6C2-66B4FB0C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冠慧 李</dc:creator>
  <cp:keywords/>
  <dc:description/>
  <cp:lastModifiedBy>USER</cp:lastModifiedBy>
  <cp:revision>2</cp:revision>
  <dcterms:created xsi:type="dcterms:W3CDTF">2021-06-24T06:56:00Z</dcterms:created>
  <dcterms:modified xsi:type="dcterms:W3CDTF">2021-06-24T06:56:00Z</dcterms:modified>
</cp:coreProperties>
</file>